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EAE5" w14:textId="77777777" w:rsidR="00944F14" w:rsidRPr="005E5445" w:rsidRDefault="00944F14" w:rsidP="00944F14">
      <w:pPr>
        <w:jc w:val="both"/>
        <w:rPr>
          <w:rFonts w:ascii="Arial" w:hAnsi="Arial" w:cs="Arial"/>
          <w:b/>
          <w:bCs/>
          <w:noProof/>
          <w:lang w:val="en-US" w:eastAsia="en-GB"/>
        </w:rPr>
      </w:pPr>
    </w:p>
    <w:p w14:paraId="60DE017F" w14:textId="77777777" w:rsidR="00944F14" w:rsidRDefault="00944F14" w:rsidP="00944F14">
      <w:pPr>
        <w:ind w:left="5760" w:firstLine="720"/>
        <w:jc w:val="both"/>
        <w:rPr>
          <w:rFonts w:ascii="Arial" w:hAnsi="Arial" w:cs="Arial"/>
          <w:b/>
          <w:bCs/>
          <w:noProof/>
          <w:lang w:eastAsia="en-GB"/>
        </w:rPr>
      </w:pPr>
      <w:r>
        <w:rPr>
          <w:rFonts w:ascii="Arial" w:hAnsi="Arial" w:cs="Arial"/>
          <w:b/>
          <w:bCs/>
          <w:noProof/>
          <w:lang w:val="en-US"/>
        </w:rPr>
        <w:drawing>
          <wp:inline distT="0" distB="0" distL="0" distR="0" wp14:anchorId="423BD787" wp14:editId="0CC824DF">
            <wp:extent cx="2400300" cy="447675"/>
            <wp:effectExtent l="19050" t="0" r="0" b="0"/>
            <wp:docPr id="1" name="Picture 1" descr="G:\LOGOS\2017\BOC_LOGO_ENGL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2017\BOC_LOGO_ENGLISH_CMYK.jpg"/>
                    <pic:cNvPicPr>
                      <a:picLocks noChangeAspect="1" noChangeArrowheads="1"/>
                    </pic:cNvPicPr>
                  </pic:nvPicPr>
                  <pic:blipFill>
                    <a:blip r:embed="rId6" cstate="print"/>
                    <a:srcRect/>
                    <a:stretch>
                      <a:fillRect/>
                    </a:stretch>
                  </pic:blipFill>
                  <pic:spPr bwMode="auto">
                    <a:xfrm>
                      <a:off x="0" y="0"/>
                      <a:ext cx="2400300" cy="447675"/>
                    </a:xfrm>
                    <a:prstGeom prst="rect">
                      <a:avLst/>
                    </a:prstGeom>
                    <a:noFill/>
                    <a:ln w="9525">
                      <a:noFill/>
                      <a:miter lim="800000"/>
                      <a:headEnd/>
                      <a:tailEnd/>
                    </a:ln>
                  </pic:spPr>
                </pic:pic>
              </a:graphicData>
            </a:graphic>
          </wp:inline>
        </w:drawing>
      </w:r>
    </w:p>
    <w:p w14:paraId="340B420C" w14:textId="77777777" w:rsidR="00D03AA4" w:rsidRPr="00DF2314" w:rsidRDefault="00944F14" w:rsidP="00D03AA4">
      <w:pPr>
        <w:jc w:val="both"/>
        <w:rPr>
          <w:rFonts w:ascii="Arial" w:eastAsiaTheme="minorHAnsi" w:hAnsi="Arial" w:cs="Arial"/>
          <w:color w:val="0070C0"/>
          <w:sz w:val="28"/>
          <w:szCs w:val="28"/>
        </w:rPr>
      </w:pPr>
      <w:r w:rsidRPr="005E5445">
        <w:rPr>
          <w:rFonts w:ascii="Arial" w:eastAsiaTheme="minorHAnsi" w:hAnsi="Arial" w:cs="Arial"/>
          <w:color w:val="0070C0"/>
          <w:sz w:val="28"/>
          <w:szCs w:val="28"/>
        </w:rPr>
        <w:t xml:space="preserve">                                            </w:t>
      </w:r>
      <w:r w:rsidR="00D03AA4" w:rsidRPr="00DF2314">
        <w:rPr>
          <w:rFonts w:ascii="Arial" w:eastAsiaTheme="minorHAnsi" w:hAnsi="Arial" w:cs="Arial"/>
          <w:color w:val="0070C0"/>
          <w:sz w:val="28"/>
          <w:szCs w:val="28"/>
        </w:rPr>
        <w:t>TERMS AND CONDITIONS</w:t>
      </w:r>
    </w:p>
    <w:p w14:paraId="66AE7DAE" w14:textId="2EF1920A" w:rsidR="00944F14" w:rsidRPr="008333D7" w:rsidRDefault="00D03AA4" w:rsidP="00D03AA4">
      <w:pPr>
        <w:jc w:val="center"/>
        <w:rPr>
          <w:color w:val="0070C0"/>
          <w:sz w:val="28"/>
          <w:szCs w:val="28"/>
        </w:rPr>
      </w:pPr>
      <w:r w:rsidRPr="00DF2314">
        <w:rPr>
          <w:rFonts w:ascii="Arial" w:eastAsiaTheme="minorHAnsi" w:hAnsi="Arial" w:cs="Arial"/>
          <w:color w:val="0070C0"/>
          <w:sz w:val="28"/>
          <w:szCs w:val="28"/>
        </w:rPr>
        <w:t>AEGEAN MASTERCARD CAMPAIGN</w:t>
      </w:r>
    </w:p>
    <w:p w14:paraId="4F1856F3" w14:textId="77777777" w:rsidR="00944F14" w:rsidRPr="008333D7" w:rsidRDefault="00944F14" w:rsidP="00944F14">
      <w:pPr>
        <w:rPr>
          <w:rFonts w:ascii="Arial" w:hAnsi="Arial" w:cs="Arial"/>
          <w:color w:val="000000"/>
        </w:rPr>
      </w:pPr>
    </w:p>
    <w:p w14:paraId="57848F86" w14:textId="2225D0A4" w:rsidR="00B24907" w:rsidRPr="00DF2314" w:rsidRDefault="00D03AA4" w:rsidP="00B24907">
      <w:pPr>
        <w:pStyle w:val="ListParagraph"/>
        <w:numPr>
          <w:ilvl w:val="0"/>
          <w:numId w:val="12"/>
        </w:numPr>
        <w:rPr>
          <w:rFonts w:ascii="Arial" w:hAnsi="Arial" w:cs="Arial"/>
          <w:lang w:eastAsia="el-GR"/>
        </w:rPr>
      </w:pPr>
      <w:r w:rsidRPr="00DF2314">
        <w:rPr>
          <w:rFonts w:ascii="Arial" w:hAnsi="Arial" w:cs="Arial"/>
          <w:lang w:eastAsia="el-GR"/>
        </w:rPr>
        <w:t>Customers who will acquire and activate the AEGEAN MASTERCARD of Bank of Cyprus Public Company Ltd (the Bank) during the period 15/09/2022-31/10/2022 are eligible to participate, who in addition to the existing benefits will also receive the following:</w:t>
      </w:r>
    </w:p>
    <w:p w14:paraId="1382DC94" w14:textId="77777777" w:rsidR="00B24907" w:rsidRPr="00DF2314" w:rsidRDefault="00B24907" w:rsidP="00B24907">
      <w:pPr>
        <w:pStyle w:val="ListParagraph"/>
        <w:rPr>
          <w:rFonts w:ascii="Arial" w:hAnsi="Arial" w:cs="Arial"/>
          <w:lang w:eastAsia="el-GR"/>
        </w:rPr>
      </w:pPr>
    </w:p>
    <w:p w14:paraId="1E54C587" w14:textId="4B04ACD6" w:rsidR="00B24907" w:rsidRPr="00F136B5" w:rsidRDefault="00D03AA4" w:rsidP="00B24907">
      <w:pPr>
        <w:pStyle w:val="ListParagraph"/>
        <w:numPr>
          <w:ilvl w:val="0"/>
          <w:numId w:val="11"/>
        </w:numPr>
        <w:jc w:val="both"/>
        <w:rPr>
          <w:rFonts w:ascii="Arial" w:hAnsi="Arial" w:cs="Arial"/>
          <w:lang w:val="el-GR" w:eastAsia="el-GR"/>
        </w:rPr>
      </w:pPr>
      <w:proofErr w:type="spellStart"/>
      <w:r w:rsidRPr="00D03AA4">
        <w:rPr>
          <w:rFonts w:ascii="Arial" w:hAnsi="Arial" w:cs="Arial"/>
          <w:b/>
          <w:bCs/>
          <w:lang w:val="el-GR"/>
        </w:rPr>
        <w:t>Double</w:t>
      </w:r>
      <w:proofErr w:type="spellEnd"/>
      <w:r w:rsidRPr="00D03AA4">
        <w:rPr>
          <w:rFonts w:ascii="Arial" w:hAnsi="Arial" w:cs="Arial"/>
          <w:b/>
          <w:bCs/>
          <w:lang w:val="el-GR"/>
        </w:rPr>
        <w:t xml:space="preserve"> </w:t>
      </w:r>
      <w:proofErr w:type="spellStart"/>
      <w:r w:rsidRPr="00D03AA4">
        <w:rPr>
          <w:rFonts w:ascii="Arial" w:hAnsi="Arial" w:cs="Arial"/>
          <w:lang w:val="el-GR"/>
        </w:rPr>
        <w:t>welcome</w:t>
      </w:r>
      <w:proofErr w:type="spellEnd"/>
      <w:r w:rsidRPr="00D03AA4">
        <w:rPr>
          <w:rFonts w:ascii="Arial" w:hAnsi="Arial" w:cs="Arial"/>
          <w:b/>
          <w:bCs/>
          <w:lang w:val="el-GR"/>
        </w:rPr>
        <w:t xml:space="preserve"> </w:t>
      </w:r>
      <w:proofErr w:type="spellStart"/>
      <w:r w:rsidRPr="00D03AA4">
        <w:rPr>
          <w:rFonts w:ascii="Arial" w:hAnsi="Arial" w:cs="Arial"/>
          <w:b/>
          <w:bCs/>
          <w:lang w:val="el-GR"/>
        </w:rPr>
        <w:t>miles</w:t>
      </w:r>
      <w:proofErr w:type="spellEnd"/>
      <w:r w:rsidR="00B24907" w:rsidRPr="00F136B5">
        <w:rPr>
          <w:rFonts w:ascii="Arial" w:hAnsi="Arial" w:cs="Arial"/>
          <w:lang w:val="el-GR"/>
        </w:rPr>
        <w:t xml:space="preserve"> </w:t>
      </w:r>
    </w:p>
    <w:p w14:paraId="352A8284" w14:textId="333DD42D" w:rsidR="00B24907" w:rsidRPr="00DF2314" w:rsidRDefault="000E383D" w:rsidP="00B24907">
      <w:pPr>
        <w:pStyle w:val="ListParagraph"/>
        <w:numPr>
          <w:ilvl w:val="0"/>
          <w:numId w:val="11"/>
        </w:numPr>
        <w:jc w:val="both"/>
        <w:rPr>
          <w:rFonts w:ascii="Arial" w:hAnsi="Arial" w:cs="Arial"/>
          <w:lang w:eastAsia="el-GR"/>
        </w:rPr>
      </w:pPr>
      <w:r w:rsidRPr="00DF2314">
        <w:rPr>
          <w:rFonts w:ascii="Arial" w:hAnsi="Arial" w:cs="Arial"/>
        </w:rPr>
        <w:t>Gift voucher worth €40 from PUBLIC stores</w:t>
      </w:r>
      <w:r w:rsidR="00B24907" w:rsidRPr="00DF2314">
        <w:rPr>
          <w:rFonts w:ascii="Arial" w:hAnsi="Arial" w:cs="Arial"/>
        </w:rPr>
        <w:t xml:space="preserve">  </w:t>
      </w:r>
    </w:p>
    <w:p w14:paraId="54A592D5" w14:textId="77777777" w:rsidR="00E55266" w:rsidRPr="00DF2314" w:rsidRDefault="00E55266" w:rsidP="00E55266">
      <w:pPr>
        <w:pStyle w:val="ListParagraph"/>
        <w:ind w:left="1440"/>
        <w:jc w:val="both"/>
        <w:rPr>
          <w:rFonts w:ascii="Arial" w:hAnsi="Arial" w:cs="Arial"/>
          <w:color w:val="000000"/>
          <w:lang w:eastAsia="el-GR"/>
        </w:rPr>
      </w:pPr>
    </w:p>
    <w:p w14:paraId="030A7E4C" w14:textId="55014ADC" w:rsidR="0036763E" w:rsidRPr="00DF2314" w:rsidRDefault="000E383D" w:rsidP="00B24907">
      <w:pPr>
        <w:pStyle w:val="Default"/>
        <w:numPr>
          <w:ilvl w:val="0"/>
          <w:numId w:val="12"/>
        </w:numPr>
        <w:adjustRightInd/>
        <w:jc w:val="both"/>
        <w:rPr>
          <w:rFonts w:eastAsia="Times New Roman"/>
          <w:lang w:val="en-GB" w:eastAsia="el-GR"/>
        </w:rPr>
      </w:pPr>
      <w:r w:rsidRPr="00DF2314">
        <w:rPr>
          <w:rFonts w:eastAsia="Times New Roman"/>
          <w:lang w:val="en-GB" w:eastAsia="el-GR"/>
        </w:rPr>
        <w:t>One voucher from Public will be offered per customer</w:t>
      </w:r>
    </w:p>
    <w:p w14:paraId="449BEA20" w14:textId="77777777" w:rsidR="0036763E" w:rsidRPr="00DF2314" w:rsidRDefault="0036763E" w:rsidP="0036763E">
      <w:pPr>
        <w:pStyle w:val="ListParagraph"/>
        <w:rPr>
          <w:lang w:eastAsia="el-GR"/>
        </w:rPr>
      </w:pPr>
    </w:p>
    <w:p w14:paraId="287E4C27" w14:textId="421C2ABE" w:rsidR="0036763E" w:rsidRPr="00DF2314" w:rsidRDefault="000E383D" w:rsidP="005A4768">
      <w:pPr>
        <w:pStyle w:val="Default"/>
        <w:numPr>
          <w:ilvl w:val="0"/>
          <w:numId w:val="12"/>
        </w:numPr>
        <w:adjustRightInd/>
        <w:jc w:val="both"/>
        <w:rPr>
          <w:rFonts w:eastAsia="Times New Roman"/>
          <w:lang w:val="en-GB"/>
        </w:rPr>
      </w:pPr>
      <w:r w:rsidRPr="00DF2314">
        <w:rPr>
          <w:rFonts w:eastAsia="Times New Roman"/>
          <w:lang w:val="en-GB" w:eastAsia="el-GR"/>
        </w:rPr>
        <w:t>The holders of the Bank's Mastercard cards are bound by the Terms and Conditions of Use of these Cards as well as by any other relevant agreement with the Bank, which may be in force from time to time.</w:t>
      </w:r>
    </w:p>
    <w:p w14:paraId="103C3F40" w14:textId="77777777" w:rsidR="0036763E" w:rsidRPr="00DF2314" w:rsidRDefault="0036763E" w:rsidP="0036763E">
      <w:pPr>
        <w:jc w:val="both"/>
        <w:rPr>
          <w:rFonts w:eastAsiaTheme="minorHAnsi"/>
        </w:rPr>
      </w:pPr>
    </w:p>
    <w:p w14:paraId="5E372FBC" w14:textId="7A1135A9" w:rsidR="0036763E" w:rsidRPr="00DF2314" w:rsidRDefault="000E383D" w:rsidP="005A4768">
      <w:pPr>
        <w:pStyle w:val="Default"/>
        <w:numPr>
          <w:ilvl w:val="0"/>
          <w:numId w:val="12"/>
        </w:numPr>
        <w:adjustRightInd/>
        <w:jc w:val="both"/>
        <w:rPr>
          <w:rFonts w:eastAsia="Times New Roman"/>
          <w:lang w:val="en-GB"/>
        </w:rPr>
      </w:pPr>
      <w:r w:rsidRPr="00DF2314">
        <w:rPr>
          <w:rFonts w:eastAsia="Times New Roman"/>
          <w:lang w:val="en-GB"/>
        </w:rPr>
        <w:t>The Bank of Cyprus may, at its discretion, exclude any participation and not allow further participation in the campaign to any person who interferes in any way with the participation process or the smooth operation of the campaign or who acts in violation of these Terms and Conditions.</w:t>
      </w:r>
      <w:r w:rsidR="0036763E" w:rsidRPr="00DF2314">
        <w:rPr>
          <w:rFonts w:eastAsia="Times New Roman"/>
          <w:lang w:val="en-GB"/>
        </w:rPr>
        <w:t xml:space="preserve"> </w:t>
      </w:r>
    </w:p>
    <w:p w14:paraId="062F3889" w14:textId="77777777" w:rsidR="0036763E" w:rsidRPr="00DF2314" w:rsidRDefault="0036763E" w:rsidP="0036763E">
      <w:pPr>
        <w:pStyle w:val="ListParagraph"/>
        <w:jc w:val="both"/>
        <w:rPr>
          <w:rFonts w:eastAsiaTheme="minorHAnsi"/>
        </w:rPr>
      </w:pPr>
    </w:p>
    <w:p w14:paraId="5C988F33" w14:textId="54355FAE" w:rsidR="0036763E" w:rsidRPr="00DF2314" w:rsidRDefault="00D118AF" w:rsidP="005A4768">
      <w:pPr>
        <w:pStyle w:val="Default"/>
        <w:numPr>
          <w:ilvl w:val="0"/>
          <w:numId w:val="12"/>
        </w:numPr>
        <w:adjustRightInd/>
        <w:jc w:val="both"/>
        <w:rPr>
          <w:rFonts w:eastAsia="Times New Roman"/>
          <w:lang w:val="en-GB"/>
        </w:rPr>
      </w:pPr>
      <w:r w:rsidRPr="00DF2314">
        <w:rPr>
          <w:rFonts w:eastAsia="Times New Roman"/>
          <w:lang w:val="en-GB"/>
        </w:rPr>
        <w:t>By participating in the campaign, participants confirm that they have read and understood these Terms and Conditions and the Terms of Use of the Bank's Cards and have agreed to be bound thereby.</w:t>
      </w:r>
    </w:p>
    <w:p w14:paraId="63BA708A" w14:textId="77777777" w:rsidR="0036763E" w:rsidRPr="00DF2314" w:rsidRDefault="0036763E" w:rsidP="0036763E">
      <w:pPr>
        <w:pStyle w:val="ListParagraph"/>
        <w:jc w:val="both"/>
        <w:rPr>
          <w:rFonts w:eastAsiaTheme="minorHAnsi"/>
        </w:rPr>
      </w:pPr>
    </w:p>
    <w:p w14:paraId="40D32BBE" w14:textId="132DB666" w:rsidR="00B24907" w:rsidRPr="00DF2314" w:rsidRDefault="00D118AF" w:rsidP="00B24907">
      <w:pPr>
        <w:pStyle w:val="Default"/>
        <w:numPr>
          <w:ilvl w:val="0"/>
          <w:numId w:val="12"/>
        </w:numPr>
        <w:adjustRightInd/>
        <w:jc w:val="both"/>
        <w:rPr>
          <w:lang w:val="en-GB" w:eastAsia="el-GR"/>
        </w:rPr>
      </w:pPr>
      <w:r w:rsidRPr="00DF2314">
        <w:rPr>
          <w:lang w:val="en-GB" w:eastAsia="el-GR"/>
        </w:rPr>
        <w:t>The campaign will be valid for the period from 15/09/2022 to 31/10/2022</w:t>
      </w:r>
      <w:r w:rsidR="00944F14" w:rsidRPr="00DF2314">
        <w:rPr>
          <w:lang w:val="en-GB" w:eastAsia="el-GR"/>
        </w:rPr>
        <w:t>.</w:t>
      </w:r>
    </w:p>
    <w:p w14:paraId="0041FB62" w14:textId="77777777" w:rsidR="00B24907" w:rsidRPr="00DF2314" w:rsidRDefault="00B24907" w:rsidP="00B24907">
      <w:pPr>
        <w:pStyle w:val="ListParagraph"/>
        <w:rPr>
          <w:lang w:eastAsia="el-GR"/>
        </w:rPr>
      </w:pPr>
    </w:p>
    <w:p w14:paraId="18957956" w14:textId="537E4605" w:rsidR="00B24907" w:rsidRPr="00DF2314" w:rsidRDefault="00D118AF" w:rsidP="00B24907">
      <w:pPr>
        <w:pStyle w:val="Default"/>
        <w:numPr>
          <w:ilvl w:val="0"/>
          <w:numId w:val="12"/>
        </w:numPr>
        <w:adjustRightInd/>
        <w:jc w:val="both"/>
        <w:rPr>
          <w:lang w:val="en-GB" w:eastAsia="el-GR"/>
        </w:rPr>
      </w:pPr>
      <w:r w:rsidRPr="00DF2314">
        <w:rPr>
          <w:lang w:val="en-GB" w:eastAsia="el-GR"/>
        </w:rPr>
        <w:t xml:space="preserve">The campaign is open to all holders of new AEGEAN Mastercard cards of the Bank, who applied for and obtained the card during the </w:t>
      </w:r>
      <w:proofErr w:type="gramStart"/>
      <w:r w:rsidRPr="00DF2314">
        <w:rPr>
          <w:lang w:val="en-GB" w:eastAsia="el-GR"/>
        </w:rPr>
        <w:t>above mentioned</w:t>
      </w:r>
      <w:proofErr w:type="gramEnd"/>
      <w:r w:rsidRPr="00DF2314">
        <w:rPr>
          <w:lang w:val="en-GB" w:eastAsia="el-GR"/>
        </w:rPr>
        <w:t xml:space="preserve"> period and are over 18 years old. The campaign does not include business cards and cardholders who have only cards linked to an account in a currency other than Euro</w:t>
      </w:r>
      <w:r w:rsidR="00B24907" w:rsidRPr="00DF2314">
        <w:rPr>
          <w:color w:val="FF0000"/>
          <w:lang w:val="en-GB" w:eastAsia="el-GR"/>
        </w:rPr>
        <w:t>.</w:t>
      </w:r>
    </w:p>
    <w:p w14:paraId="2545EFAE" w14:textId="77777777" w:rsidR="00944F14" w:rsidRPr="00DF2314" w:rsidRDefault="00944F14" w:rsidP="00944F14">
      <w:pPr>
        <w:pStyle w:val="ListParagraph"/>
        <w:jc w:val="both"/>
        <w:rPr>
          <w:rFonts w:ascii="Arial" w:hAnsi="Arial" w:cs="Arial"/>
          <w:color w:val="000000"/>
          <w:lang w:eastAsia="el-GR"/>
        </w:rPr>
      </w:pPr>
    </w:p>
    <w:p w14:paraId="7C1C27F7" w14:textId="2156DA57" w:rsidR="00944F14" w:rsidRPr="00DF2314" w:rsidRDefault="00D118AF" w:rsidP="005A4768">
      <w:pPr>
        <w:pStyle w:val="Default"/>
        <w:numPr>
          <w:ilvl w:val="0"/>
          <w:numId w:val="12"/>
        </w:numPr>
        <w:adjustRightInd/>
        <w:jc w:val="both"/>
        <w:rPr>
          <w:lang w:val="en-GB"/>
        </w:rPr>
      </w:pPr>
      <w:r w:rsidRPr="00DF2314">
        <w:rPr>
          <w:lang w:val="en-GB"/>
        </w:rPr>
        <w:t>Without prejudice to paragraph (2) above, prizes cannot be exchanged for cash or any other prize or gift</w:t>
      </w:r>
      <w:r w:rsidR="00944F14" w:rsidRPr="00DF2314">
        <w:rPr>
          <w:lang w:val="en-GB"/>
        </w:rPr>
        <w:t xml:space="preserve">. </w:t>
      </w:r>
    </w:p>
    <w:p w14:paraId="5F36257E" w14:textId="77777777" w:rsidR="00944F14" w:rsidRPr="00DF2314" w:rsidRDefault="00944F14" w:rsidP="00944F14">
      <w:pPr>
        <w:pStyle w:val="ListParagraph"/>
        <w:jc w:val="both"/>
      </w:pPr>
    </w:p>
    <w:p w14:paraId="11D0B521" w14:textId="1AB8AE9D" w:rsidR="00944F14" w:rsidRPr="00DF2314" w:rsidRDefault="00D118AF" w:rsidP="005A4768">
      <w:pPr>
        <w:pStyle w:val="Default"/>
        <w:numPr>
          <w:ilvl w:val="0"/>
          <w:numId w:val="12"/>
        </w:numPr>
        <w:adjustRightInd/>
        <w:jc w:val="both"/>
        <w:rPr>
          <w:rFonts w:eastAsia="Times New Roman"/>
          <w:lang w:val="en-GB"/>
        </w:rPr>
      </w:pPr>
      <w:r w:rsidRPr="00DF2314">
        <w:rPr>
          <w:rFonts w:eastAsia="Times New Roman"/>
          <w:lang w:val="en-GB"/>
        </w:rPr>
        <w:t>The Bank reserves the right to amend these Terms and Conditions at any time with prior notice to Mastercard Cardholders.</w:t>
      </w:r>
    </w:p>
    <w:p w14:paraId="0EC17228" w14:textId="77777777" w:rsidR="00944F14" w:rsidRPr="00DF2314" w:rsidRDefault="00944F14" w:rsidP="00944F14">
      <w:pPr>
        <w:pStyle w:val="Default"/>
        <w:adjustRightInd/>
        <w:ind w:left="720"/>
        <w:jc w:val="both"/>
        <w:rPr>
          <w:rFonts w:eastAsia="Times New Roman"/>
          <w:lang w:val="en-GB"/>
        </w:rPr>
      </w:pPr>
    </w:p>
    <w:p w14:paraId="2E4520BB" w14:textId="02E8EEFC" w:rsidR="00944F14" w:rsidRPr="00DF2314" w:rsidRDefault="00D118AF" w:rsidP="005A4768">
      <w:pPr>
        <w:pStyle w:val="Default"/>
        <w:numPr>
          <w:ilvl w:val="0"/>
          <w:numId w:val="12"/>
        </w:numPr>
        <w:adjustRightInd/>
        <w:jc w:val="both"/>
        <w:rPr>
          <w:lang w:val="en-GB"/>
        </w:rPr>
      </w:pPr>
      <w:r w:rsidRPr="00DF2314">
        <w:rPr>
          <w:rFonts w:eastAsia="Times New Roman"/>
          <w:lang w:val="en-GB"/>
        </w:rPr>
        <w:t>The Bank does not make any representations or warranties and does not provide any guarantees in respect of the gifts</w:t>
      </w:r>
      <w:r w:rsidR="00944F14" w:rsidRPr="00DF2314">
        <w:rPr>
          <w:rFonts w:eastAsia="Times New Roman"/>
          <w:lang w:val="en-GB"/>
        </w:rPr>
        <w:t xml:space="preserve">. </w:t>
      </w:r>
    </w:p>
    <w:p w14:paraId="2D056241" w14:textId="77777777" w:rsidR="00944F14" w:rsidRPr="00DF2314" w:rsidRDefault="00944F14" w:rsidP="00944F14">
      <w:pPr>
        <w:pStyle w:val="ListParagraph"/>
        <w:jc w:val="both"/>
      </w:pPr>
    </w:p>
    <w:p w14:paraId="4297138E" w14:textId="77D8C48E" w:rsidR="00944F14" w:rsidRPr="00DF2314" w:rsidRDefault="00D118AF" w:rsidP="005A4768">
      <w:pPr>
        <w:pStyle w:val="Default"/>
        <w:numPr>
          <w:ilvl w:val="0"/>
          <w:numId w:val="12"/>
        </w:numPr>
        <w:adjustRightInd/>
        <w:jc w:val="both"/>
        <w:rPr>
          <w:lang w:val="en-GB"/>
        </w:rPr>
      </w:pPr>
      <w:r w:rsidRPr="00DF2314">
        <w:rPr>
          <w:rFonts w:eastAsia="Times New Roman"/>
          <w:lang w:val="en-GB"/>
        </w:rPr>
        <w:t>To the fullest extent permitted by law, the Bank shall not be liable for any loss, damage or injury to any person or property that may result, directly or indirectly, in whole or in part, from the acceptance of the gifts</w:t>
      </w:r>
      <w:r w:rsidR="00944F14" w:rsidRPr="00DF2314">
        <w:rPr>
          <w:rFonts w:eastAsia="Times New Roman"/>
          <w:lang w:val="en-GB"/>
        </w:rPr>
        <w:t xml:space="preserve">. </w:t>
      </w:r>
    </w:p>
    <w:p w14:paraId="38D6146A" w14:textId="77777777" w:rsidR="00944F14" w:rsidRPr="00DF2314" w:rsidRDefault="00944F14" w:rsidP="00944F14">
      <w:pPr>
        <w:pStyle w:val="Default"/>
        <w:adjustRightInd/>
        <w:ind w:left="720"/>
        <w:jc w:val="both"/>
        <w:rPr>
          <w:lang w:val="en-GB"/>
        </w:rPr>
      </w:pPr>
    </w:p>
    <w:p w14:paraId="2C56CC17" w14:textId="4B676FD6" w:rsidR="00640351" w:rsidRPr="00DF2314" w:rsidRDefault="00D118AF" w:rsidP="00B24907">
      <w:pPr>
        <w:pStyle w:val="Default"/>
        <w:numPr>
          <w:ilvl w:val="0"/>
          <w:numId w:val="12"/>
        </w:numPr>
        <w:adjustRightInd/>
        <w:jc w:val="both"/>
        <w:rPr>
          <w:lang w:val="en-GB"/>
        </w:rPr>
      </w:pPr>
      <w:r w:rsidRPr="00DF2314">
        <w:rPr>
          <w:rFonts w:eastAsia="Times New Roman"/>
          <w:lang w:val="en-GB"/>
        </w:rPr>
        <w:t>These Terms and Conditions shall be governed by Cyprus Law</w:t>
      </w:r>
      <w:r w:rsidR="00944F14" w:rsidRPr="00DF2314">
        <w:rPr>
          <w:rFonts w:eastAsia="Times New Roman"/>
          <w:lang w:val="en-GB"/>
        </w:rPr>
        <w:t>.</w:t>
      </w:r>
    </w:p>
    <w:sectPr w:rsidR="00640351" w:rsidRPr="00DF2314" w:rsidSect="00AD245C">
      <w:pgSz w:w="11906" w:h="16838"/>
      <w:pgMar w:top="567"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EDD"/>
    <w:multiLevelType w:val="hybridMultilevel"/>
    <w:tmpl w:val="BC7461D0"/>
    <w:lvl w:ilvl="0" w:tplc="CF7EB55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20C54"/>
    <w:multiLevelType w:val="hybridMultilevel"/>
    <w:tmpl w:val="439AD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73F92"/>
    <w:multiLevelType w:val="hybridMultilevel"/>
    <w:tmpl w:val="FB605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162FA2"/>
    <w:multiLevelType w:val="hybridMultilevel"/>
    <w:tmpl w:val="D220D24E"/>
    <w:lvl w:ilvl="0" w:tplc="3A18FE92">
      <w:start w:val="5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8363A2"/>
    <w:multiLevelType w:val="hybridMultilevel"/>
    <w:tmpl w:val="667C0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0C2A52"/>
    <w:multiLevelType w:val="hybridMultilevel"/>
    <w:tmpl w:val="9324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D020ED"/>
    <w:multiLevelType w:val="hybridMultilevel"/>
    <w:tmpl w:val="635C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37AAE"/>
    <w:multiLevelType w:val="hybridMultilevel"/>
    <w:tmpl w:val="895E5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8D7196"/>
    <w:multiLevelType w:val="hybridMultilevel"/>
    <w:tmpl w:val="91667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2E798D"/>
    <w:multiLevelType w:val="hybridMultilevel"/>
    <w:tmpl w:val="BF9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22F12"/>
    <w:multiLevelType w:val="hybridMultilevel"/>
    <w:tmpl w:val="F1BC4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E53A33"/>
    <w:multiLevelType w:val="hybridMultilevel"/>
    <w:tmpl w:val="0C32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6"/>
  </w:num>
  <w:num w:numId="9">
    <w:abstractNumId w:val="11"/>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14"/>
    <w:rsid w:val="00055218"/>
    <w:rsid w:val="000E383D"/>
    <w:rsid w:val="00247C6B"/>
    <w:rsid w:val="002833D5"/>
    <w:rsid w:val="00364665"/>
    <w:rsid w:val="0036763E"/>
    <w:rsid w:val="003D3065"/>
    <w:rsid w:val="005A4768"/>
    <w:rsid w:val="005E5445"/>
    <w:rsid w:val="00640351"/>
    <w:rsid w:val="007F28D3"/>
    <w:rsid w:val="008129BA"/>
    <w:rsid w:val="008333D7"/>
    <w:rsid w:val="00944F14"/>
    <w:rsid w:val="00961180"/>
    <w:rsid w:val="00A27F86"/>
    <w:rsid w:val="00A70BDB"/>
    <w:rsid w:val="00B24907"/>
    <w:rsid w:val="00B309DA"/>
    <w:rsid w:val="00BD2A99"/>
    <w:rsid w:val="00C06B69"/>
    <w:rsid w:val="00C90C0E"/>
    <w:rsid w:val="00D03AA4"/>
    <w:rsid w:val="00D118AF"/>
    <w:rsid w:val="00D4318C"/>
    <w:rsid w:val="00DF2314"/>
    <w:rsid w:val="00E55266"/>
    <w:rsid w:val="00EF46B8"/>
    <w:rsid w:val="00FE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35D6"/>
  <w15:chartTrackingRefBased/>
  <w15:docId w15:val="{66E93724-943B-4132-B1AB-5511DCD6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14"/>
    <w:pPr>
      <w:ind w:left="720"/>
      <w:contextualSpacing/>
    </w:pPr>
  </w:style>
  <w:style w:type="paragraph" w:customStyle="1" w:styleId="Default">
    <w:name w:val="Default"/>
    <w:rsid w:val="00944F1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3676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D7"/>
    <w:rPr>
      <w:sz w:val="16"/>
      <w:szCs w:val="16"/>
    </w:rPr>
  </w:style>
  <w:style w:type="paragraph" w:styleId="CommentText">
    <w:name w:val="annotation text"/>
    <w:basedOn w:val="Normal"/>
    <w:link w:val="CommentTextChar"/>
    <w:uiPriority w:val="99"/>
    <w:semiHidden/>
    <w:unhideWhenUsed/>
    <w:rsid w:val="008333D7"/>
    <w:rPr>
      <w:sz w:val="20"/>
      <w:szCs w:val="20"/>
    </w:rPr>
  </w:style>
  <w:style w:type="character" w:customStyle="1" w:styleId="CommentTextChar">
    <w:name w:val="Comment Text Char"/>
    <w:basedOn w:val="DefaultParagraphFont"/>
    <w:link w:val="CommentText"/>
    <w:uiPriority w:val="99"/>
    <w:semiHidden/>
    <w:rsid w:val="00833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D7"/>
    <w:rPr>
      <w:b/>
      <w:bCs/>
    </w:rPr>
  </w:style>
  <w:style w:type="character" w:customStyle="1" w:styleId="CommentSubjectChar">
    <w:name w:val="Comment Subject Char"/>
    <w:basedOn w:val="CommentTextChar"/>
    <w:link w:val="CommentSubject"/>
    <w:uiPriority w:val="99"/>
    <w:semiHidden/>
    <w:rsid w:val="008333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DD20-3574-4027-9069-6C5592D7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BOC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Psara</dc:creator>
  <cp:keywords/>
  <dc:description/>
  <cp:lastModifiedBy>Louiza Psara</cp:lastModifiedBy>
  <cp:revision>2</cp:revision>
  <dcterms:created xsi:type="dcterms:W3CDTF">2022-09-14T11:22:00Z</dcterms:created>
  <dcterms:modified xsi:type="dcterms:W3CDTF">2022-09-14T11:22:00Z</dcterms:modified>
</cp:coreProperties>
</file>